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67A8C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pacing w:val="0"/>
          <w:sz w:val="36"/>
          <w:szCs w:val="36"/>
          <w:u w:val="single"/>
        </w:rPr>
      </w:pPr>
      <w:r>
        <w:rPr>
          <w:rFonts w:hint="default" w:ascii="Times New Roman" w:hAnsi="Times New Roman" w:eastAsia="SimSun" w:cs="Times New Roman"/>
          <w:b/>
          <w:bCs/>
          <w:i/>
          <w:iCs/>
          <w:spacing w:val="0"/>
          <w:kern w:val="0"/>
          <w:sz w:val="36"/>
          <w:szCs w:val="36"/>
          <w:u w:val="single"/>
          <w:lang w:val="en-US" w:eastAsia="zh-CN" w:bidi="ar"/>
        </w:rPr>
        <w:t>Реклама в Україні та світі: Аналіз ключових аспектів</w:t>
      </w:r>
    </w:p>
    <w:p w14:paraId="0D79D770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uk-UA" w:eastAsia="zh-CN" w:bidi="ar"/>
        </w:rPr>
        <w:t>Представляю вашій увазі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 xml:space="preserve"> комплексний аналіз стану рекламної діяльності в Україні та світі, базуючись на 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uk-UA" w:eastAsia="zh-CN" w:bidi="ar"/>
        </w:rPr>
        <w:t>промоніторених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 xml:space="preserve"> джерелах. Реклама утвердилася як потужна глобальна сила, що демонструють колосальні обсяги інвестицій у розвинених країнах, які у 2002 році перевищили світові витрати на оборону. Ключові ринки, такі як США, Німеччина та Велика Британія, демонструють стабільне зростання витрат, причому провідні корпорації спрямовують на рекламу до 18% свого торговельного обігу.</w:t>
      </w:r>
    </w:p>
    <w:p w14:paraId="098C3B1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Водночас український ринок реклами, попри послідовний рух до світових стандартів, характеризується низкою унікальних особливостей. Рівень витрат на душу населення залишається значно нижчим, ніж у країнах Європи. Дослідження показують, що телебачення є найефективнішим рекламним каналом в Україні, особливо для товарів повсякденного вжитку. Однак розвиток ринку стримується психологічними бар'єрами, зокрема недовірою старшого покоління та використанням реклами для маніпуляцій. Важливим кроком у становленні цивілізованого ринку стало прийняття Закону України «Про рекламу» у 1996 році. Для подальшого розвитку галузі критичне значення має системний підхід до аналізу та оцінки ефективності рекламних кампаній, що передбачає ретельний аналіз витрат та їх співвідношення зі зростанням обсягів реалізації.</w:t>
      </w:r>
    </w:p>
    <w:p w14:paraId="4D4FD61B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1. Типологія та функції рекламної діяльності</w:t>
      </w:r>
    </w:p>
    <w:p w14:paraId="65D83BD0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Рекламна діяльність класифікується за характером впливу на споживачів, що дозволяє адаптувати стратегії до різних етапів життєвого циклу товару.</w:t>
      </w:r>
    </w:p>
    <w:p w14:paraId="214027F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Інформативна реклама: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Основна мета — насичення ринку інформацією про нові товари. Застосовується на етапі виведення продукту на ринок.</w:t>
      </w:r>
    </w:p>
    <w:p w14:paraId="247D4194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Уречевлена реклама: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Спрямована на переконання споживача у необхідності негайної покупки товару. Найчастіше використовується на етапі зростання попиту.</w:t>
      </w:r>
    </w:p>
    <w:p w14:paraId="3BD14CB9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Нагадувальна реклама: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Завдання — вмовити покупця продовжувати купувати певний товар. Актуальна для продуктів, що перебувають на етапі «зрілості».</w:t>
      </w:r>
    </w:p>
    <w:p w14:paraId="1CEE8212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Підкріплювальна реклама: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Переконує споживачів у правильності вже зробленого вибору. Часто в таких кампаніях фігурують задоволені клієнти.</w:t>
      </w:r>
    </w:p>
    <w:p w14:paraId="77DFAB32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   ◦ Приклади: реклама прального порошку «Тайд» із задоволеними жінками; реклама шоколаду «Снікерс» за участю футболістів; реклама шоколаду «Марс», де його споживають представники різних професій.</w:t>
      </w:r>
    </w:p>
    <w:p w14:paraId="2B51F275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Порівняльна реклама: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Використовується для пропаганди переваг товару шляхом його порівняння з аналогічною продукцією.</w:t>
      </w:r>
    </w:p>
    <w:p w14:paraId="23FA5422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   ◦ Приклад: канадські гуртові компанії, які починають діалог із фрази «А ви знаєте, скільки це коштує у магазині?», підкреслюючи цінову доступність своєї продукції.</w:t>
      </w:r>
    </w:p>
    <w:p w14:paraId="4E2DDF05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2. Глобальний ринок реклами: масштаби та інвестиції</w:t>
      </w:r>
    </w:p>
    <w:p w14:paraId="70E83D90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Реклама є однією з найвагоміших галузей світової економіки. Її історичні корені сягають Стародавньої Греції та Риму, де оголошення писали на дерев'яних дошках. Перше рекламне бюро було засноване в Лондоні А. Горжем та У. Копом, а друкована реклама з'явилася у XVII столітті. З розвитком капіталізму її поширення набуло глобальних масштабів.</w:t>
      </w:r>
    </w:p>
    <w:p w14:paraId="7D6E59A9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Загальносвітові витрати: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У 2002 році на рекламну діяльність у світі було витрачено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846,6 млрд доларів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, що на 0,33% більше, ніж на оборону.</w:t>
      </w:r>
    </w:p>
    <w:p w14:paraId="5F05E38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Інвестиції за країнами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9"/>
        <w:gridCol w:w="6607"/>
      </w:tblGrid>
      <w:tr w14:paraId="17B8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FC2C71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Країна/Регіон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2298C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Ключові дані та показники</w:t>
            </w:r>
          </w:p>
        </w:tc>
      </w:tr>
      <w:tr w14:paraId="13EB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CA9137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  <w:t>США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90A7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• Найбільші фірми витрачають на рекламу </w:t>
            </w:r>
            <w:r>
              <w:rPr>
                <w:rFonts w:hint="default" w:ascii="Times New Roman" w:hAnsi="Times New Roman" w:eastAsia="SimSun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  <w:t>9–18%</w:t>
            </w: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 торговельного обігу.&lt;br&gt;• Автомобільні гіганти «Дженерал Моторз», «Форд» та «Крайслер» щорічно витрачають близько </w:t>
            </w:r>
            <w:r>
              <w:rPr>
                <w:rFonts w:hint="default" w:ascii="Times New Roman" w:hAnsi="Times New Roman" w:eastAsia="SimSun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  <w:t>2 млрд доларів</w:t>
            </w: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 кожен.&lt;br&gt;• «Майкрософт» інвестувала десятки мільйонів доларів у рекламу нової операційної системи.</w:t>
            </w:r>
          </w:p>
        </w:tc>
      </w:tr>
      <w:tr w14:paraId="143B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087662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  <w:t>Німеччина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096F7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• За 10 років витрати на рекламу зросли більш ніж на </w:t>
            </w:r>
            <w:r>
              <w:rPr>
                <w:rFonts w:hint="default" w:ascii="Times New Roman" w:hAnsi="Times New Roman" w:eastAsia="SimSun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  <w:t>67%</w:t>
            </w: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.&lt;br&gt;• Кількість рекламних газет і журналів збільшилась удвічі.&lt;br&gt;• У перші місяці 2003 року автомобілебудівники витратили на рекламу </w:t>
            </w:r>
            <w:r>
              <w:rPr>
                <w:rFonts w:hint="default" w:ascii="Times New Roman" w:hAnsi="Times New Roman" w:eastAsia="SimSun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  <w:t>1,8 млрд марок</w:t>
            </w: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 (+8,9% до аналогічного періоду 2002 року).</w:t>
            </w:r>
          </w:p>
        </w:tc>
      </w:tr>
      <w:tr w14:paraId="7CC8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15A5C1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  <w:t>Велика Британія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CD28E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• У 2002 році витрати на рекламу перевищили </w:t>
            </w:r>
            <w:r>
              <w:rPr>
                <w:rFonts w:hint="default" w:ascii="Times New Roman" w:hAnsi="Times New Roman" w:eastAsia="SimSun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  <w:t>10 млрд фунтів стерлінгів</w:t>
            </w: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.&lt;br&gt;• </w:t>
            </w:r>
            <w:r>
              <w:rPr>
                <w:rFonts w:hint="default" w:ascii="Times New Roman" w:hAnsi="Times New Roman" w:eastAsia="SimSun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  <w:t>Розподіл витрат за каналами:</w:t>
            </w: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 друкована реклама (55%), телебачення (29%), пряма поштова розсилка (10%), афіші (3%), радіо та кіно (2%).&lt;br&gt;• Основні сфери рекламування: продукти харчування, автомобілі, роздрібна торгівля, фінансові послуги.&lt;br&gt;• У країні працює близько </w:t>
            </w:r>
            <w:r>
              <w:rPr>
                <w:rFonts w:hint="default" w:ascii="Times New Roman" w:hAnsi="Times New Roman" w:eastAsia="SimSun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  <w:t>1300 рекламних агентств</w:t>
            </w: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</w:p>
        </w:tc>
      </w:tr>
    </w:tbl>
    <w:p w14:paraId="4EEC17A7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3. Ринок реклами в Україні: особливості, ефективність та проблеми</w:t>
      </w:r>
    </w:p>
    <w:p w14:paraId="3B1AC167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Україна послідовно інтегрується у світовий рекламний простір, однак її ринок має специфічні риси, пов'язані як з економічними, так і з соціокультурними факторами.</w:t>
      </w:r>
    </w:p>
    <w:p w14:paraId="4D4D58DC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3.1. Загальна характеристика та рівень витрат</w:t>
      </w:r>
    </w:p>
    <w:p w14:paraId="52D4C6D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Попри розвиток, обсяг ринку залишається порівняно невеликим.</w:t>
      </w:r>
    </w:p>
    <w:p w14:paraId="719200BF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Витрати на душу населення (2002 рік):</w:t>
      </w:r>
    </w:p>
    <w:p w14:paraId="389958F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   ◦ Україна: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менше 2 доларів</w:t>
      </w:r>
    </w:p>
    <w:p w14:paraId="4ADA0DE2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   ◦ Німеччина: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49 доларів</w:t>
      </w:r>
    </w:p>
    <w:p w14:paraId="3AC5F12C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   ◦ Угорщина: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40 доларів</w:t>
      </w:r>
    </w:p>
    <w:p w14:paraId="047F115F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3.2. Ефективність рекламних каналів</w:t>
      </w:r>
    </w:p>
    <w:p w14:paraId="79F47393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Дослідження рекламно-маркетингової компанії «Прайм» у Києві показало, що реклама реально допомагає споживачам обирати товари.</w:t>
      </w:r>
    </w:p>
    <w:p w14:paraId="63AB5784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Провідний канал: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Телебачення є найефективнішим засобом впливу на рішення про покупку.</w:t>
      </w:r>
    </w:p>
    <w:p w14:paraId="5850F2D0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Рейтинг каналів за ефективністю:</w:t>
      </w:r>
    </w:p>
    <w:p w14:paraId="217FD92F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   1. Телебачення</w:t>
      </w:r>
    </w:p>
    <w:p w14:paraId="0F219650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   2. Реклама у пресі</w:t>
      </w:r>
    </w:p>
    <w:p w14:paraId="0EC2EC2E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   3. Реклама на радіо та зовнішня реклама</w:t>
      </w:r>
    </w:p>
    <w:p w14:paraId="2BD6C2C0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eastAsia="sans-serif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spacing w:val="0"/>
          <w:kern w:val="0"/>
          <w:sz w:val="28"/>
          <w:szCs w:val="28"/>
          <w:lang w:val="en-US" w:eastAsia="zh-CN" w:bidi="ar"/>
        </w:rPr>
        <w:t>Вплив телевізійної реклами на придбання товарів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1"/>
        <w:gridCol w:w="5125"/>
      </w:tblGrid>
      <w:tr w14:paraId="12C9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1017A01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Категорія товару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1AE0B3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Відсоток респондентів, яким допомогла ТВ-реклама</w:t>
            </w:r>
          </w:p>
        </w:tc>
      </w:tr>
      <w:tr w14:paraId="0E45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834074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Продукти харчування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20220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14%</w:t>
            </w:r>
          </w:p>
        </w:tc>
      </w:tr>
      <w:tr w14:paraId="058E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DF83BF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Предмети побутової хімії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0B1F5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12%</w:t>
            </w:r>
          </w:p>
        </w:tc>
      </w:tr>
      <w:tr w14:paraId="64C7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7F14F7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Взуття та одяг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B288D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11%</w:t>
            </w:r>
          </w:p>
        </w:tc>
      </w:tr>
      <w:tr w14:paraId="6F2D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F296BE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Господарські товари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2A83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9%</w:t>
            </w:r>
          </w:p>
        </w:tc>
      </w:tr>
      <w:tr w14:paraId="3F5D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76DA797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Засоби обчислювальної техніки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D43B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7%</w:t>
            </w:r>
          </w:p>
        </w:tc>
      </w:tr>
      <w:tr w14:paraId="07FF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0EF980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Меблі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2A6D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default" w:ascii="Times New Roman" w:hAnsi="Times New Roman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6%</w:t>
            </w:r>
          </w:p>
        </w:tc>
      </w:tr>
    </w:tbl>
    <w:p w14:paraId="57E0169E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Найефективніше в Україні рекламуються продукти харчування. В їх просуванні задіяні всі канали: телебачення (14%), преса (4%), зовнішня реклама (2%) та радіо (0,5%).</w:t>
      </w:r>
    </w:p>
    <w:p w14:paraId="31446974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3.3. Виклики та психологічні бар'єри</w:t>
      </w:r>
    </w:p>
    <w:p w14:paraId="1283517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Формування повноцінного рекламного ринку в Україні стикається з низкою проблем, значна частина яких має психологічний характер.</w:t>
      </w:r>
    </w:p>
    <w:p w14:paraId="6A4D41EC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Маніпуляції: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Деякі підприємці використовують рекламу як інструмент маніпулювання та створення ілюзії цінності.</w:t>
      </w:r>
    </w:p>
    <w:p w14:paraId="7417CE4C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Недовіра та ігнорування: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Представники середнього та старшого покоління часто не звертають увагу на рекламу.</w:t>
      </w:r>
    </w:p>
    <w:p w14:paraId="2FA5ED02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Низький рівень зацікавленості (за даними компанії «Прайм»):</w:t>
      </w:r>
    </w:p>
    <w:p w14:paraId="0FF5BBA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   ◦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78%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респондентів не цікавляться рекламою продуктів харчування.</w:t>
      </w:r>
    </w:p>
    <w:p w14:paraId="2800417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   ◦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85%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не цікавляться рекламою госптоварів.</w:t>
      </w:r>
    </w:p>
    <w:p w14:paraId="49204EF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   ◦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88%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не цікавляться рекламою обчислювальної техніки.</w:t>
      </w:r>
    </w:p>
    <w:p w14:paraId="688801FC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Негативні асоціації: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Для багатьох реклама є атрибутом «капіталістичного» суспільства, що асоціюється з інфляцією та підвищенням цін.</w:t>
      </w:r>
    </w:p>
    <w:p w14:paraId="1CA8B097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3.4. Регулювання та розвиток</w:t>
      </w:r>
    </w:p>
    <w:p w14:paraId="3F82AD91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Важливим кроком у становленні галузі стало прийняття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Закону України «Про рекламу» у 1996 році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. Цей закон визначив засади рекламної діяльності, врегулював рекламування окремих видів продукції та встановив загальні обмеження. На ринку працюють спеціалізовані компанії, як-от київське підприємство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«Світлографіка»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, що з 1994 року займається розробкою фірмового стилю та виробництвом рекламної продукції, зокрема світлової реклами.</w:t>
      </w:r>
    </w:p>
    <w:p w14:paraId="4D588B9A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4. Аналіз та оцінка ефективності рекламної діяльності</w:t>
      </w:r>
    </w:p>
    <w:p w14:paraId="5B8E1F2A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Для аналітиків та менеджерів ключове значення має вивчення ефективності витрачання рекламних коштів. Це дозволяє оптимізувати бюджети та підвищувати рентабельність інвестицій.</w:t>
      </w:r>
    </w:p>
    <w:p w14:paraId="2BF2B8D9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4.1. Структура аналізу</w:t>
      </w:r>
    </w:p>
    <w:p w14:paraId="0BC84323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Оцінка ефективності передбачає аналіз структури витрат за такими елементами:</w:t>
      </w:r>
    </w:p>
    <w:p w14:paraId="5982A4D3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Витрати на проведення рекламних кампаній.</w:t>
      </w:r>
    </w:p>
    <w:p w14:paraId="62E83073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Витрати на використання конкретних рекламних засобів (ТВ, преса, радіо тощо).</w:t>
      </w:r>
    </w:p>
    <w:p w14:paraId="0233F96C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Витрати на виготовлення та розповсюдження рекламних матеріалів.</w:t>
      </w:r>
    </w:p>
    <w:p w14:paraId="50C96D4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4.2. Ключові напрями організації рекламної роботи</w:t>
      </w:r>
    </w:p>
    <w:p w14:paraId="0B1B1671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Ефективна рекламна діяльність має бути орієнтована на конкретні ринки та цільові групи покупців і включати такі заходи:</w:t>
      </w:r>
    </w:p>
    <w:p w14:paraId="3D3DF7F7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Вибір найефективніших рекламних засобів відповідно до товару та ринку.</w:t>
      </w:r>
    </w:p>
    <w:p w14:paraId="285AA401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Проведення цілеспрямованих рекламних кампаній.</w:t>
      </w:r>
    </w:p>
    <w:p w14:paraId="2329F72F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Розміщення ретельно опрацьованих оголошень та відгуків покупців у періодичній пресі.</w:t>
      </w:r>
    </w:p>
    <w:p w14:paraId="560BBC3F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Використання вузькопрофільних газет, журналів, довідників та наукових видань.</w:t>
      </w:r>
    </w:p>
    <w:p w14:paraId="4090DAF1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Застосування товарного знака як рекламного інструмента.</w:t>
      </w:r>
    </w:p>
    <w:p w14:paraId="05B2D294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4.3. Показники ефективності</w:t>
      </w:r>
    </w:p>
    <w:p w14:paraId="1C865A25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Ефективність рекламної діяльності визначається шляхом аналізу низки показників:</w:t>
      </w:r>
    </w:p>
    <w:p w14:paraId="47840F4D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Витрати на рекламу на 1000 потенційних покупців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по кожному засобу і виду реклами.</w:t>
      </w:r>
    </w:p>
    <w:p w14:paraId="41676C99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Відсоток покупців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, які звернули увагу на рекламу та придбали виріб.</w:t>
      </w:r>
    </w:p>
    <w:p w14:paraId="7C666E21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•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Популярність продукції фірми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як результат рекламної діяльності.</w:t>
      </w:r>
    </w:p>
    <w:p w14:paraId="2CCA5C27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Ключовим завданням аналізу є визначення, наскільки реклама сприяє зростанню реалізації товарів. Це досягається шляхом </w:t>
      </w:r>
      <w:r>
        <w:rPr>
          <w:rFonts w:hint="default" w:ascii="Times New Roman" w:hAnsi="Times New Roman" w:eastAsia="SimSun" w:cs="Times New Roman"/>
          <w:b/>
          <w:bCs/>
          <w:spacing w:val="0"/>
          <w:kern w:val="0"/>
          <w:sz w:val="28"/>
          <w:szCs w:val="28"/>
          <w:lang w:val="en-US" w:eastAsia="zh-CN" w:bidi="ar"/>
        </w:rPr>
        <w:t>співвідношення витрат на рекламні заходи до досягнутих за їх допомогою результатів</w:t>
      </w:r>
      <w:r>
        <w:rPr>
          <w:rFonts w:hint="default" w:ascii="Times New Roman" w:hAnsi="Times New Roman" w:eastAsia="SimSun" w:cs="Times New Roman"/>
          <w:spacing w:val="0"/>
          <w:kern w:val="0"/>
          <w:sz w:val="28"/>
          <w:szCs w:val="28"/>
          <w:lang w:val="en-US" w:eastAsia="zh-CN" w:bidi="ar"/>
        </w:rPr>
        <w:t> (зростання обсягу продажів). Такий підхід допомагає правильно обирати засоби та час проведення рекламних кампаній, а також обґрунтовано планувати фінансові витрати.</w:t>
      </w:r>
    </w:p>
    <w:p w14:paraId="5F7BBEF9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514D1"/>
    <w:rsid w:val="00324EC1"/>
    <w:rsid w:val="23DC0B63"/>
    <w:rsid w:val="58A5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2025-09-25T08:33:00Z</dcterms:created>
  <dc:creator>Оксана Мілінчук</dc:creator>
  <cp:lastModifiedBy>Оксана Мілінчук</cp:lastModifiedBy>
  <dcterms:modified xsi:type="dcterms:W3CDTF">2025-09-25T09:45:25Z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D3190097AE2D4EA8BF1DA85B14C55AFE_11</vt:lpwstr>
  </property>
</Properties>
</file>